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  <w:t>План действий по реализации Концепции развития креативной экономики 2021-2023 г.г.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Style w:val="af"/>
        <w:tblW w:w="147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8"/>
        <w:gridCol w:w="1947"/>
        <w:gridCol w:w="4110"/>
        <w:gridCol w:w="1559"/>
        <w:gridCol w:w="2552"/>
        <w:gridCol w:w="2126"/>
        <w:gridCol w:w="1944"/>
        <w:gridCol w:w="5"/>
      </w:tblGrid>
      <w:tr>
        <w:trPr/>
        <w:tc>
          <w:tcPr>
            <w:tcW w:w="4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41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Меры / Действия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Ожидаемые результаты (продукт)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>
        <w:trPr>
          <w:trHeight w:val="473" w:hRule="atLeast"/>
        </w:trPr>
        <w:tc>
          <w:tcPr>
            <w:tcW w:w="14701" w:type="dxa"/>
            <w:gridSpan w:val="8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1: ЭТАП 2021-2022 г.г: ФОРМИРОВАНИЕ </w:t>
            </w:r>
            <w:r>
              <w:rPr>
                <w:rFonts w:cs="Times New Roman" w:ascii="Times New Roman" w:hAnsi="Times New Roman"/>
                <w:caps/>
                <w:sz w:val="24"/>
                <w:szCs w:val="24"/>
                <w:lang w:val="ru-RU"/>
              </w:rPr>
              <w:t>комплексной государственной политики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РАЗВИТИЯ КРЕАТИВНОЙ ЭКОНОМИКИ В КЫРГЫЗСКОЙ РЕСПУБЛИКЕ</w:t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ind w:left="275" w:hanging="2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системы учета и мониторинга; механизмов поддержки развития КИ.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left="465" w:hanging="46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Определение критериев креативной экономики и выделение направлений КИ в ГКЭД.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2021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Определены измеримые критерии КЭ и направления КИ.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 рамках республиканского бюджета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МЭ, НСК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left="465" w:hanging="4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Внесение изменений в классификатор в части детализации ИКТ индустрий</w:t>
            </w:r>
            <w:r>
              <w:rPr>
                <w:rFonts w:cs="Times New Roman"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2021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Внесены изменения в ГКЭД в части ИКТ индустрий.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 рамках республиканского бюджета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НСК, МЭ, ПВТ (по согласованию)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left="465" w:hanging="4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Определение/утверждение перечня показателей, характеризующих состояние развития креативной экономики.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2021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Измеримые данные для отслеживания динамики и тенденций развития КИ и в целом КЭ.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 рамках республиканского бюджета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МЭ, НСК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left="465" w:hanging="4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Внесение изменений/дополнений в классификатор (ГКЭД) по мере необходимости и систему сбора и учета информации по предприятиям КИ.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2021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статистического учета креативных индустрий и публикация данных в открытых источниках.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 рамках республиканского бюджета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НСК, МЭ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left="465" w:hanging="46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Внесение дополнений в перечень видов индивидуальной предпринимательской деятельности</w:t>
            </w: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(в рамках реформ фискализации).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2021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Стимулирование роста КИ и увеличение доходов государственного бюджета.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В рамках республиканского бюджета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МЭ, ГНС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left="465" w:hanging="465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Разработка и реализация проектов ГЧП в сфере КИ.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конца 2023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Перечень и План реализации проектов ГЧП.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Частные инвестиции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Центр ГЧП, МЭ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left="465" w:hanging="4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Обучение сотрудников государственных органов по международным методологиям измерения и оценки учета и развития КЭ.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конца 2021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Повышен потенциал госорганов в области учета и оценки развития КЭ.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МЭ, Кыргызпатент, НСК и другие государственные органы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left="465" w:hanging="4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Разработка/утверждение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Плана и проведение мероприятий по информационному освещению и популяризации КЭ.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Постоянно до конца 2023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Повышение уровня осведомленности по КЭ.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МК, МЭ, МОН, Кыргызпатент, ПВТ (по согласованию)</w:t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275" w:hanging="2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Укрепление потенциала КИ.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2"/>
              </w:numPr>
              <w:spacing w:lineRule="auto" w:line="240" w:before="0" w:after="0"/>
              <w:ind w:left="457" w:hanging="4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Подготовка перечня востребованных профилей в сфере КИ.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2022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Определены потребности в подготовке кадров.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МТСР, МОН, МК, МЭ, Кыргызпатент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275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2"/>
              </w:numPr>
              <w:spacing w:lineRule="auto" w:line="240" w:before="0" w:after="0"/>
              <w:ind w:left="457" w:hanging="4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Разработка основных образовательных программ для различных уровней профессионального образования.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2022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Сформированы основные образовательные программы по КЭ.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МОН, МК</w:t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1"/>
                <w:numId w:val="2"/>
              </w:numPr>
              <w:spacing w:lineRule="auto" w:line="240" w:before="0" w:after="0"/>
              <w:ind w:left="275" w:hanging="2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Расширение инновационных креативных пространств и экспорта.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2"/>
              </w:numPr>
              <w:spacing w:lineRule="auto" w:line="240" w:before="0" w:after="0"/>
              <w:ind w:left="457" w:hanging="4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Создание платформы инновационных проектов КИ.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2021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 механизм стимулирования и роста КИ.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ГКИТиС, МЭ, МК, Кыргызпатент, ПВТ (по согласованию)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3"/>
              </w:numPr>
              <w:spacing w:lineRule="auto" w:line="240" w:before="0" w:after="0"/>
              <w:ind w:left="457" w:hanging="4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цифровой платформы развития КИ по типу E-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Commerce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для реализации продукции КИ и повышение уровня цифровизации КИ.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2021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Сформирован механизм продвижения продукции КИ.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ГКИТиС, ПВТ (по согласованию)</w:t>
            </w:r>
          </w:p>
        </w:tc>
      </w:tr>
      <w:tr>
        <w:trPr/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275" w:hanging="2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Мониторинг и оценка 1 этапа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4"/>
              </w:numPr>
              <w:spacing w:lineRule="auto" w:line="240" w:before="0" w:after="0"/>
              <w:ind w:left="457" w:hanging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Проведение мониторинга и оценки.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 2022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Рекомендации и предложения.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В рамках республиканского бюджета,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МЭ и другие государственные органы. ПВТ (по согласованию), представители КИ (по согласованию)</w:t>
            </w:r>
          </w:p>
        </w:tc>
      </w:tr>
      <w:tr>
        <w:trPr>
          <w:trHeight w:val="473" w:hRule="atLeast"/>
        </w:trPr>
        <w:tc>
          <w:tcPr>
            <w:tcW w:w="14696" w:type="dxa"/>
            <w:gridSpan w:val="7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2: ЭТАП 2023 г.: СТИМУЛИРОВАНИЕ РОСТА КРЕАТИВНЫХ ИНДУСТРИЙ КЫРГЫЗСКОЙ РЕСПУБЛИКИ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1"/>
                <w:numId w:val="5"/>
              </w:numPr>
              <w:spacing w:lineRule="auto" w:line="240" w:before="0" w:after="0"/>
              <w:ind w:left="275" w:hanging="2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и продвижение бренда «Креативный Кыргызстан»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5"/>
              </w:numPr>
              <w:spacing w:lineRule="auto" w:line="240" w:before="0" w:after="0"/>
              <w:ind w:left="457" w:hanging="4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Проведение мероприятий по разработке бренда (включая составляющие компоненты бренда).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2022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Национальный бренд КИ.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МК, Кыргызпатент, МИД, МОН, МЭ, АПЗИ, ГКИТиС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5"/>
              </w:numPr>
              <w:spacing w:lineRule="auto" w:line="240" w:before="0" w:after="0"/>
              <w:ind w:left="457" w:hanging="4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Проведение регулярных мероприятий по популяризации бренда.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Узнаваемость бренда КИ КР во внешнем мире.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МИД, МК, АПЗИ, Кыргызпатент, ТПП (по согласованию)</w:t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ListParagraph"/>
              <w:numPr>
                <w:ilvl w:val="1"/>
                <w:numId w:val="5"/>
              </w:numPr>
              <w:spacing w:lineRule="auto" w:line="240" w:before="0" w:after="0"/>
              <w:ind w:left="275" w:hanging="2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Стимулирование инноваций в КЭ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5"/>
              </w:numPr>
              <w:spacing w:lineRule="auto" w:line="240" w:before="0" w:after="0"/>
              <w:ind w:left="457" w:hanging="4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Совершенствование законодательства с целью стимулирования инновационной деятельности.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квартала 2023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Создана соответствующая правовая база.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Кыргызпатент, ГКИТиС, МЭ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ListParagraph"/>
              <w:numPr>
                <w:ilvl w:val="2"/>
                <w:numId w:val="5"/>
              </w:numPr>
              <w:spacing w:lineRule="auto" w:line="240" w:before="0" w:after="0"/>
              <w:ind w:left="457" w:hanging="4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Формирование национального проекта по развитию КИ.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До конца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квартал 2023 г.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Создана платформа для развития КИ.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Доноры и др. виды негосударственного финансирования</w:t>
            </w:r>
          </w:p>
        </w:tc>
        <w:tc>
          <w:tcPr>
            <w:tcW w:w="194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Кыргызпатент, МЭ, Министерства и ведомства. ПВТ (по согласованию), представители КИ (по согласованию)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sz w:val="24"/>
          <w:szCs w:val="24"/>
          <w:lang w:val="ru-RU"/>
        </w:rPr>
        <w:t>Приложение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cs="Times New Roman" w:ascii="Times New Roman" w:hAnsi="Times New Roman"/>
          <w:sz w:val="14"/>
          <w:szCs w:val="1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  <w:t>Матрица индикаторов мониторинга и оценки реализации Концепции развития креативной экономики 2021-2023 г.г.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tblStyle w:val="af"/>
        <w:tblW w:w="147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8"/>
        <w:gridCol w:w="1947"/>
        <w:gridCol w:w="2552"/>
        <w:gridCol w:w="1701"/>
        <w:gridCol w:w="1417"/>
        <w:gridCol w:w="1040"/>
        <w:gridCol w:w="1039"/>
        <w:gridCol w:w="1040"/>
        <w:gridCol w:w="1984"/>
        <w:gridCol w:w="1518"/>
        <w:gridCol w:w="4"/>
      </w:tblGrid>
      <w:tr>
        <w:trPr/>
        <w:tc>
          <w:tcPr>
            <w:tcW w:w="45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4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255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Наименование индикатора</w:t>
            </w:r>
          </w:p>
        </w:tc>
        <w:tc>
          <w:tcPr>
            <w:tcW w:w="170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Базовый год</w:t>
            </w:r>
          </w:p>
        </w:tc>
        <w:tc>
          <w:tcPr>
            <w:tcW w:w="311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Промежуточные индикаторы (годовые)</w:t>
            </w:r>
          </w:p>
        </w:tc>
        <w:tc>
          <w:tcPr>
            <w:tcW w:w="198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Конечные индикаторы или целевые показатели</w:t>
            </w:r>
          </w:p>
        </w:tc>
        <w:tc>
          <w:tcPr>
            <w:tcW w:w="1522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Ответственный орган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 год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 год</w:t>
            </w:r>
          </w:p>
        </w:tc>
        <w:tc>
          <w:tcPr>
            <w:tcW w:w="198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522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>
        <w:trPr>
          <w:trHeight w:val="473" w:hRule="atLeast"/>
        </w:trPr>
        <w:tc>
          <w:tcPr>
            <w:tcW w:w="14700" w:type="dxa"/>
            <w:gridSpan w:val="11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1: ЭТАП 2021-2022 г.г: ФОРМИРОВАНИЕ </w:t>
            </w:r>
            <w:r>
              <w:rPr>
                <w:rFonts w:cs="Times New Roman" w:ascii="Times New Roman" w:hAnsi="Times New Roman"/>
                <w:caps/>
                <w:sz w:val="24"/>
                <w:szCs w:val="24"/>
                <w:lang w:val="ru-RU"/>
              </w:rPr>
              <w:t>комплексной государственной политики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РАЗВИТИЯ КРЕАТИВНОЙ ЭКОНОМИКИ В КЫРГЫЗСКОЙ РЕСПУБЛИКЕ</w:t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системы учета и мониторинга; механизмов поддержки развития КИ.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Перечень критериев и направлений КИ в ГКЭД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критериев и направлений,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До 5 критериев и свыше 10 направлений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МЭ, НСК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Составлен перечень необходимых изменений в ГКЭД в части отрасли ИКТ индустрий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изменений,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Свыше 10 изменений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НСК, МЭ, ПВТ (по согласованию)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Утвержден перечень показателей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показателей,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Свыше 5 показателей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МЭ, НСК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Утвержденный перечень внесенных изменений в ГКЭД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изменений,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Свыше 10 изменений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НСК, МЭ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Составлен перечень необходимых дополнений в перечень видов налогооблагаемой деятельности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дополнений,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Свыше 5 дополнений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МЭ, ГНС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3-5 проектов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До 5 проектов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Центр ГЧП, МЭ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Выездное обучение (ТОТ) за рубежом в специализированных институтах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обучившихся, в человеках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До 30 человек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МЭ, Кыргызпатент, НСК и другие государственные органы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 мероприятий на 2021-2023 г.г.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мероприятий,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3-5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5-7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Свыше 20 мероприятий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МК, МЭ, МОН, Кыргызпатент, ПВТ (по согласованию)</w:t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Укрепление потенциала КИ.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Составлен перечень востребованных профилей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профилей,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1-5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5-10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Свыше 10 профилей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МТСР, МОН, МК, МЭ, Кыргызпатент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Составлен профиль основных образовательных программ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профилей,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1-5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5-10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Свыше 10 профилей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МОН, МК</w:t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  <w:t>Расширение инновационных креативных пространств и экспорта.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Платформа инновационных проектов 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платформ,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Не менее 1 платформы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ГКИТиС, МЭ, МК, Кыргызпатент, ПВТ (по согласованию)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Специализированный электронный сайт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сайтов,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Не менее 1 сайта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ГКИТиС, ПВТ (по согласованию)</w:t>
            </w:r>
          </w:p>
        </w:tc>
      </w:tr>
      <w:tr>
        <w:trPr/>
        <w:tc>
          <w:tcPr>
            <w:tcW w:w="4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Мониторинг и оценка 1 этапа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Отчет по итогам мониторинга с последующим рассмотрением на расширенной коллегии МЭ</w:t>
            </w:r>
            <w:r>
              <w:rPr>
                <w:rFonts w:cs="Times New Roman" w:ascii="Times New Roman" w:hAnsi="Times New Roman"/>
                <w:strike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отчетов,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1 отчет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МЭ и другие государственные органы. ПВТ (по согласованию), представители КИ (по согласованию)</w:t>
            </w:r>
          </w:p>
        </w:tc>
      </w:tr>
      <w:tr>
        <w:trPr>
          <w:trHeight w:val="473" w:hRule="atLeast"/>
        </w:trPr>
        <w:tc>
          <w:tcPr>
            <w:tcW w:w="14696" w:type="dxa"/>
            <w:gridSpan w:val="10"/>
            <w:tcBorders/>
            <w:shd w:color="auto" w:fill="DBE5F1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2: ЭТАП 2023 г.: СТИМУЛИРОВАНИЕ РОСТА КРЕАТИВНЫХ ИНДУСТРИЙ КЫРГЫЗСКОЙ РЕСПУБЛИКИ</w:t>
            </w:r>
          </w:p>
        </w:tc>
        <w:tc>
          <w:tcPr>
            <w:tcW w:w="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и продвижение бренда «Креативный Кыргызстан»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Узнаваемость бренда (по разработанным составляющим компонентам бренда)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компонентов бренд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а, в шт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1 национальный бренд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МК, Кыргызпатент, МИД, МОН, МЭ, АПЗИ, ГКИТиС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План мероприятий на 2021-2023 г.г.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Количество мероприятий,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3-5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5-7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Свыше 20 мероприятий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МИД, МК, АПЗИ, Кыргызпатент, ТПП (по согласованию)</w:t>
            </w:r>
          </w:p>
        </w:tc>
      </w:tr>
      <w:tr>
        <w:trPr/>
        <w:tc>
          <w:tcPr>
            <w:tcW w:w="45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4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Стимулирование инноваций в КЭ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Создание НПА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НПА,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Не менее 2 НПА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Кыргызпатент, ГКИТиС, МЭ</w:t>
            </w:r>
          </w:p>
        </w:tc>
      </w:tr>
      <w:tr>
        <w:trPr/>
        <w:tc>
          <w:tcPr>
            <w:tcW w:w="45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r>
          </w:p>
        </w:tc>
        <w:tc>
          <w:tcPr>
            <w:tcW w:w="19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Принятие национального проекта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проектов, в шт.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lang w:val="ru-RU"/>
              </w:rPr>
              <w:t>1 национальный проект</w:t>
            </w:r>
          </w:p>
        </w:tc>
        <w:tc>
          <w:tcPr>
            <w:tcW w:w="152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Кыргызпатент, МЭ, Министерства и ведомства. ПВТ (по согласованию), представители КИ (по согласованию)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5840" w:h="12240"/>
      <w:pgMar w:left="567" w:right="567" w:header="0" w:top="567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54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sz w:val="24"/>
        <w:szCs w:val="16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16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>
    <w:lvl w:ilvl="0">
      <w:start w:val="1"/>
      <w:numFmt w:val="decimal"/>
      <w:lvlText w:val="%1."/>
      <w:lvlJc w:val="left"/>
      <w:pPr>
        <w:ind w:left="540" w:hanging="540"/>
      </w:pPr>
      <w:rPr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sz w:val="24"/>
        <w:szCs w:val="16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16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3"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  <w:rPr>
        <w:sz w:val="24"/>
        <w:szCs w:val="16"/>
        <w:rFonts w:ascii="Times New Roman" w:hAnsi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sz w:val="24"/>
        <w:szCs w:val="16"/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540" w:hanging="540"/>
      </w:pPr>
      <w:rPr>
        <w:sz w:val="24"/>
        <w:color w:val="000000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sz w:val="24"/>
        <w:color w:val="000000"/>
      </w:rPr>
    </w:lvl>
    <w:lvl w:ilvl="2">
      <w:start w:val="1"/>
      <w:numFmt w:val="decimal"/>
      <w:lvlText w:val="%1.%2.%3."/>
      <w:lvlJc w:val="left"/>
      <w:pPr>
        <w:ind w:left="900" w:hanging="540"/>
      </w:pPr>
      <w:rPr>
        <w:sz w:val="16"/>
        <w:szCs w:val="16"/>
        <w:rFonts w:ascii="Times New Roman" w:hAnsi="Times New Roman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sz w:val="24"/>
        <w:color w:val="00000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sz w:val="24"/>
        <w:color w:val="000000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sz w:val="24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sz w:val="24"/>
        <w:color w:val="000000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sz w:val="24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sz w:val="24"/>
        <w:color w:val="000000"/>
      </w:rPr>
    </w:lvl>
  </w:abstractNum>
  <w:abstractNum w:abstractNumId="5">
    <w:lvl w:ilvl="0">
      <w:start w:val="2"/>
      <w:numFmt w:val="decimal"/>
      <w:lvlText w:val="%1."/>
      <w:lvlJc w:val="left"/>
      <w:pPr>
        <w:ind w:left="540" w:hanging="54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sz w:val="24"/>
        <w:szCs w:val="16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16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Basic Roman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/>
  </w:style>
  <w:style w:type="character" w:styleId="CommentReference1" w:customStyle="1">
    <w:name w:val="Comment Reference1"/>
    <w:basedOn w:val="DefaultParagraphFont"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qFormat/>
    <w:rPr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9">
    <w:name w:val="Интернет-ссылка"/>
    <w:basedOn w:val="DefaultParagraphFont"/>
    <w:rPr>
      <w:color w:val="0563C1"/>
      <w:u w:val="single"/>
    </w:rPr>
  </w:style>
  <w:style w:type="character" w:styleId="1" w:customStyle="1">
    <w:name w:val="Неразрешенное упоминание1"/>
    <w:basedOn w:val="DefaultParagraphFont"/>
    <w:qFormat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qFormat/>
    <w:rPr>
      <w:sz w:val="16"/>
      <w:szCs w:val="16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ascii="Times New Roman" w:hAnsi="Times New Roman"/>
      <w:color w:val="auto"/>
      <w:sz w:val="24"/>
      <w:szCs w:val="16"/>
    </w:rPr>
  </w:style>
  <w:style w:type="character" w:styleId="ListLabel3">
    <w:name w:val="ListLabel 3"/>
    <w:qFormat/>
    <w:rPr>
      <w:rFonts w:ascii="Times New Roman" w:hAnsi="Times New Roman"/>
      <w:color w:val="auto"/>
      <w:sz w:val="24"/>
      <w:szCs w:val="16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ascii="Times New Roman" w:hAnsi="Times New Roman"/>
      <w:color w:val="auto"/>
      <w:sz w:val="24"/>
      <w:szCs w:val="16"/>
    </w:rPr>
  </w:style>
  <w:style w:type="character" w:styleId="ListLabel12">
    <w:name w:val="ListLabel 12"/>
    <w:qFormat/>
    <w:rPr>
      <w:rFonts w:ascii="Times New Roman" w:hAnsi="Times New Roman"/>
      <w:color w:val="auto"/>
      <w:sz w:val="24"/>
      <w:szCs w:val="16"/>
    </w:rPr>
  </w:style>
  <w:style w:type="character" w:styleId="ListLabel13">
    <w:name w:val="ListLabel 13"/>
    <w:qFormat/>
    <w:rPr>
      <w:color w:val="auto"/>
    </w:rPr>
  </w:style>
  <w:style w:type="character" w:styleId="ListLabel14">
    <w:name w:val="ListLabel 14"/>
    <w:qFormat/>
    <w:rPr>
      <w:color w:val="auto"/>
    </w:rPr>
  </w:style>
  <w:style w:type="character" w:styleId="ListLabel15">
    <w:name w:val="ListLabel 15"/>
    <w:qFormat/>
    <w:rPr>
      <w:color w:val="auto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rFonts w:ascii="Times New Roman" w:hAnsi="Times New Roman"/>
      <w:sz w:val="24"/>
      <w:szCs w:val="16"/>
    </w:rPr>
  </w:style>
  <w:style w:type="character" w:styleId="ListLabel20">
    <w:name w:val="ListLabel 20"/>
    <w:qFormat/>
    <w:rPr>
      <w:rFonts w:ascii="Times New Roman" w:hAnsi="Times New Roman"/>
      <w:sz w:val="24"/>
      <w:szCs w:val="16"/>
    </w:rPr>
  </w:style>
  <w:style w:type="character" w:styleId="ListLabel21">
    <w:name w:val="ListLabel 21"/>
    <w:qFormat/>
    <w:rPr>
      <w:color w:val="000000"/>
      <w:sz w:val="24"/>
    </w:rPr>
  </w:style>
  <w:style w:type="character" w:styleId="ListLabel22">
    <w:name w:val="ListLabel 22"/>
    <w:qFormat/>
    <w:rPr>
      <w:color w:val="000000"/>
      <w:sz w:val="24"/>
    </w:rPr>
  </w:style>
  <w:style w:type="character" w:styleId="ListLabel23">
    <w:name w:val="ListLabel 23"/>
    <w:qFormat/>
    <w:rPr>
      <w:rFonts w:ascii="Times New Roman" w:hAnsi="Times New Roman"/>
      <w:color w:val="000000"/>
      <w:sz w:val="16"/>
      <w:szCs w:val="16"/>
    </w:rPr>
  </w:style>
  <w:style w:type="character" w:styleId="ListLabel24">
    <w:name w:val="ListLabel 24"/>
    <w:qFormat/>
    <w:rPr>
      <w:color w:val="000000"/>
      <w:sz w:val="24"/>
    </w:rPr>
  </w:style>
  <w:style w:type="character" w:styleId="ListLabel25">
    <w:name w:val="ListLabel 25"/>
    <w:qFormat/>
    <w:rPr>
      <w:color w:val="000000"/>
      <w:sz w:val="24"/>
    </w:rPr>
  </w:style>
  <w:style w:type="character" w:styleId="ListLabel26">
    <w:name w:val="ListLabel 26"/>
    <w:qFormat/>
    <w:rPr>
      <w:color w:val="000000"/>
      <w:sz w:val="24"/>
    </w:rPr>
  </w:style>
  <w:style w:type="character" w:styleId="ListLabel27">
    <w:name w:val="ListLabel 27"/>
    <w:qFormat/>
    <w:rPr>
      <w:color w:val="000000"/>
      <w:sz w:val="24"/>
    </w:rPr>
  </w:style>
  <w:style w:type="character" w:styleId="ListLabel28">
    <w:name w:val="ListLabel 28"/>
    <w:qFormat/>
    <w:rPr>
      <w:color w:val="000000"/>
      <w:sz w:val="24"/>
    </w:rPr>
  </w:style>
  <w:style w:type="character" w:styleId="ListLabel29">
    <w:name w:val="ListLabel 29"/>
    <w:qFormat/>
    <w:rPr>
      <w:color w:val="000000"/>
      <w:sz w:val="24"/>
    </w:rPr>
  </w:style>
  <w:style w:type="character" w:styleId="ListLabel30">
    <w:name w:val="ListLabel 30"/>
    <w:qFormat/>
    <w:rPr>
      <w:color w:val="auto"/>
    </w:rPr>
  </w:style>
  <w:style w:type="character" w:styleId="ListLabel31">
    <w:name w:val="ListLabel 31"/>
    <w:qFormat/>
    <w:rPr>
      <w:rFonts w:ascii="Times New Roman" w:hAnsi="Times New Roman"/>
      <w:color w:val="auto"/>
      <w:sz w:val="24"/>
      <w:szCs w:val="16"/>
    </w:rPr>
  </w:style>
  <w:style w:type="character" w:styleId="ListLabel32">
    <w:name w:val="ListLabel 32"/>
    <w:qFormat/>
    <w:rPr>
      <w:rFonts w:ascii="Times New Roman" w:hAnsi="Times New Roman"/>
      <w:color w:val="auto"/>
      <w:sz w:val="24"/>
      <w:szCs w:val="16"/>
    </w:rPr>
  </w:style>
  <w:style w:type="character" w:styleId="ListLabel33">
    <w:name w:val="ListLabel 33"/>
    <w:qFormat/>
    <w:rPr>
      <w:color w:val="auto"/>
    </w:rPr>
  </w:style>
  <w:style w:type="character" w:styleId="ListLabel34">
    <w:name w:val="ListLabel 34"/>
    <w:qFormat/>
    <w:rPr>
      <w:color w:val="auto"/>
    </w:rPr>
  </w:style>
  <w:style w:type="character" w:styleId="ListLabel35">
    <w:name w:val="ListLabel 35"/>
    <w:qFormat/>
    <w:rPr>
      <w:color w:val="auto"/>
    </w:rPr>
  </w:style>
  <w:style w:type="character" w:styleId="ListLabel36">
    <w:name w:val="ListLabel 36"/>
    <w:qFormat/>
    <w:rPr>
      <w:color w:val="auto"/>
    </w:rPr>
  </w:style>
  <w:style w:type="character" w:styleId="ListLabel37">
    <w:name w:val="ListLabel 37"/>
    <w:qFormat/>
    <w:rPr>
      <w:color w:val="auto"/>
    </w:rPr>
  </w:style>
  <w:style w:type="character" w:styleId="ListLabel38">
    <w:name w:val="ListLabel 38"/>
    <w:qFormat/>
    <w:rPr>
      <w:color w:val="auto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5">
    <w:name w:val="Header"/>
    <w:basedOn w:val="Normal"/>
    <w:qFormat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6">
    <w:name w:val="Footer"/>
    <w:basedOn w:val="Normal"/>
    <w:qFormat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mmentText1" w:customStyle="1">
    <w:name w:val="Comment Text1"/>
    <w:basedOn w:val="Normal"/>
    <w:qFormat/>
    <w:pPr>
      <w:spacing w:lineRule="auto" w:line="240"/>
    </w:pPr>
    <w:rPr>
      <w:sz w:val="20"/>
      <w:szCs w:val="20"/>
    </w:rPr>
  </w:style>
  <w:style w:type="paragraph" w:styleId="CommentSubject1" w:customStyle="1">
    <w:name w:val="Comment Subject1"/>
    <w:basedOn w:val="CommentText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1" w:customStyle="1">
    <w:name w:val="Revision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Basic Roman"/>
      <w:color w:val="auto"/>
      <w:kern w:val="0"/>
      <w:sz w:val="22"/>
      <w:szCs w:val="22"/>
      <w:lang w:val="en-US" w:eastAsia="zh-CN" w:bidi="ar-SA"/>
    </w:rPr>
  </w:style>
  <w:style w:type="paragraph" w:styleId="Annotationtext">
    <w:name w:val="annotation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lle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">
    <w:name w:val="Plain Table 1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sz="1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styleId="af0">
    <w:name w:val="Grid Table Light"/>
    <w:basedOn w:val="a1"/>
    <w:uiPriority w:val="40"/>
    <w:pPr>
      <w:spacing w:after="0" w:line="240" w:lineRule="auto"/>
    </w:p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6A95-61DD-499D-BFDF-E08DC02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Application>LibreOffice/6.0.7.3$Linux_X86_64 LibreOffice_project/00m0$Build-3</Application>
  <Pages>4</Pages>
  <Words>1144</Words>
  <Characters>7078</Characters>
  <CharactersWithSpaces>7920</CharactersWithSpaces>
  <Paragraphs>281</Paragraphs>
  <Company>OSCE Academy in Bishkek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2020-12-09T10:03:00Z</dcterms:created>
  <dc:creator>Natalia</dc:creator>
  <dc:description/>
  <dc:language>ru-RU</dc:language>
  <cp:lastModifiedBy>Administrator</cp:lastModifiedBy>
  <cp:lastPrinted>2020-12-13T09:33:00Z</cp:lastPrinted>
  <dcterms:modified xsi:type="dcterms:W3CDTF">2020-12-14T15:11:00Z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OSCE Academy in Bishkek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